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47E9E" w14:textId="51654091" w:rsidR="00673BA3" w:rsidRDefault="00673BA3" w:rsidP="00596F4C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ANEXO 5.</w:t>
      </w:r>
    </w:p>
    <w:p w14:paraId="120B8BE7" w14:textId="1BACA938" w:rsidR="004108A7" w:rsidRDefault="00C25287" w:rsidP="00596F4C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617266">
        <w:rPr>
          <w:rFonts w:ascii="Times New Roman" w:hAnsi="Times New Roman" w:cs="Times New Roman"/>
          <w:b/>
          <w:bCs/>
          <w:sz w:val="18"/>
          <w:szCs w:val="18"/>
        </w:rPr>
        <w:t>ANÁLISIS PESTEL</w:t>
      </w:r>
    </w:p>
    <w:p w14:paraId="0D221504" w14:textId="4EBDC3E6" w:rsidR="00DC45EE" w:rsidRPr="00CD322F" w:rsidRDefault="00DC45EE" w:rsidP="00DC45EE">
      <w:pPr>
        <w:pStyle w:val="Descripcin"/>
        <w:keepNext/>
        <w:jc w:val="center"/>
        <w:rPr>
          <w:rFonts w:ascii="Times New Roman" w:hAnsi="Times New Roman" w:cs="Times New Roman"/>
          <w:color w:val="auto"/>
        </w:rPr>
      </w:pPr>
      <w:bookmarkStart w:id="0" w:name="_Toc55032972"/>
      <w:r w:rsidRPr="00CD322F">
        <w:rPr>
          <w:rFonts w:ascii="Times New Roman" w:hAnsi="Times New Roman" w:cs="Times New Roman"/>
          <w:color w:val="auto"/>
        </w:rPr>
        <w:t>TABLA</w:t>
      </w:r>
      <w:r w:rsidR="00FD0C31">
        <w:rPr>
          <w:rFonts w:ascii="Times New Roman" w:hAnsi="Times New Roman" w:cs="Times New Roman"/>
          <w:color w:val="auto"/>
        </w:rPr>
        <w:t xml:space="preserve"> </w:t>
      </w:r>
      <w:r w:rsidR="00B479DD">
        <w:rPr>
          <w:rFonts w:ascii="Times New Roman" w:hAnsi="Times New Roman" w:cs="Times New Roman"/>
          <w:color w:val="auto"/>
        </w:rPr>
        <w:t>V</w:t>
      </w:r>
      <w:r w:rsidRPr="6B99B1FC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br/>
      </w:r>
      <w:r w:rsidRPr="00CD322F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PESTEL</w:t>
      </w:r>
      <w:bookmarkEnd w:id="0"/>
      <w:r w:rsidR="006D571F">
        <w:rPr>
          <w:rFonts w:ascii="Times New Roman" w:hAnsi="Times New Roman" w:cs="Times New Roman"/>
          <w:color w:val="auto"/>
        </w:rPr>
        <w:t xml:space="preserve"> DEL ENTORNO INDUSTRIAL DE LA NARANJA EN COLOMBIA</w:t>
      </w:r>
    </w:p>
    <w:p w14:paraId="05E71520" w14:textId="77777777" w:rsidR="00DC45EE" w:rsidRPr="00617266" w:rsidRDefault="00DC45EE" w:rsidP="00596F4C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1504"/>
        <w:gridCol w:w="2293"/>
        <w:gridCol w:w="6308"/>
      </w:tblGrid>
      <w:tr w:rsidR="009C222A" w:rsidRPr="00E23EB2" w14:paraId="3545C275" w14:textId="77777777" w:rsidTr="003C76A0">
        <w:trPr>
          <w:trHeight w:val="1307"/>
        </w:trPr>
        <w:tc>
          <w:tcPr>
            <w:tcW w:w="593" w:type="dxa"/>
            <w:vMerge w:val="restart"/>
            <w:vAlign w:val="center"/>
            <w:hideMark/>
          </w:tcPr>
          <w:p w14:paraId="32FB195A" w14:textId="77777777" w:rsidR="009C222A" w:rsidRPr="00617266" w:rsidRDefault="009C222A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6172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</w:t>
            </w:r>
          </w:p>
        </w:tc>
        <w:tc>
          <w:tcPr>
            <w:tcW w:w="1504" w:type="dxa"/>
            <w:vMerge w:val="restart"/>
            <w:vAlign w:val="center"/>
            <w:hideMark/>
          </w:tcPr>
          <w:p w14:paraId="66084FE2" w14:textId="77777777" w:rsidR="009C222A" w:rsidRPr="00C25287" w:rsidRDefault="009C222A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POLÍTICO</w:t>
            </w:r>
          </w:p>
        </w:tc>
        <w:tc>
          <w:tcPr>
            <w:tcW w:w="2293" w:type="dxa"/>
            <w:shd w:val="clear" w:color="auto" w:fill="auto"/>
            <w:hideMark/>
          </w:tcPr>
          <w:p w14:paraId="53197EF1" w14:textId="77777777" w:rsidR="00596F4C" w:rsidRPr="00C25287" w:rsidRDefault="00596F4C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67ED8829" w14:textId="1596BE91" w:rsidR="009C222A" w:rsidRPr="00C25287" w:rsidRDefault="009C222A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Pago de impuestos de las empresas</w:t>
            </w:r>
          </w:p>
        </w:tc>
        <w:tc>
          <w:tcPr>
            <w:tcW w:w="6307" w:type="dxa"/>
            <w:shd w:val="clear" w:color="auto" w:fill="auto"/>
            <w:hideMark/>
          </w:tcPr>
          <w:p w14:paraId="1E8D7ECA" w14:textId="61FBE30A" w:rsidR="00BA6C75" w:rsidRPr="00C25287" w:rsidRDefault="009C222A" w:rsidP="00617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De acuerdo la Organización para la Cooperación y el Desarrollo Económico (OCDE), Colombia es el sexto país con los impuestos más altos a empresas con una tasa de</w:t>
            </w:r>
            <w:r w:rsidR="149B5E8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l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33% sobre las ganancias [</w:t>
            </w:r>
            <w:r w:rsidR="0D63A4E9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27]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Elementos principales de la reforma tributaria </w:t>
            </w:r>
            <w:r w:rsidR="5BD96D3B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“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Reducción de la tarifa del impuesto a las empresas</w:t>
            </w:r>
            <w:r w:rsidR="3C3F014D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”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del 33% al 30% [</w:t>
            </w:r>
            <w:r w:rsidR="69F37B0B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16</w:t>
            </w:r>
            <w:r w:rsidR="34BDC464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</w:t>
            </w:r>
            <w:r w:rsidR="006172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</w:tr>
      <w:tr w:rsidR="009C222A" w:rsidRPr="00E23EB2" w14:paraId="0FCBC230" w14:textId="77777777" w:rsidTr="003C76A0">
        <w:trPr>
          <w:trHeight w:val="1061"/>
        </w:trPr>
        <w:tc>
          <w:tcPr>
            <w:tcW w:w="593" w:type="dxa"/>
            <w:vMerge/>
            <w:vAlign w:val="center"/>
            <w:hideMark/>
          </w:tcPr>
          <w:p w14:paraId="5041C963" w14:textId="77777777" w:rsidR="009C222A" w:rsidRPr="00617266" w:rsidRDefault="009C222A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06D7AE5D" w14:textId="77777777" w:rsidR="009C222A" w:rsidRPr="00C25287" w:rsidRDefault="009C222A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1B48DFA2" w14:textId="52CF4694" w:rsidR="009C222A" w:rsidRPr="00C25287" w:rsidRDefault="009C222A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La carga impositiva para las empresas es elevada (Impuesto al Valor Agregado (IVA))</w:t>
            </w:r>
          </w:p>
        </w:tc>
        <w:tc>
          <w:tcPr>
            <w:tcW w:w="6307" w:type="dxa"/>
            <w:shd w:val="clear" w:color="auto" w:fill="auto"/>
            <w:hideMark/>
          </w:tcPr>
          <w:p w14:paraId="300EC66F" w14:textId="73968925" w:rsidR="009C222A" w:rsidRPr="00C25287" w:rsidRDefault="009C222A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Las empresas también pagan la tarifa básica de IVA en la compra de bienes de capital, pero a diferencia de otros países con IVA, no reciben un reembolso por el IVA pagado en la inversión. Esto aumenta enormemente el costo de la inversión en Colombia [</w:t>
            </w:r>
            <w:r w:rsidR="6AE1B324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31]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.</w:t>
            </w:r>
          </w:p>
          <w:p w14:paraId="55B80605" w14:textId="7D974A6A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6F25E5" w:rsidRPr="00E23EB2" w14:paraId="5AACF73C" w14:textId="77777777" w:rsidTr="003C76A0">
        <w:trPr>
          <w:trHeight w:val="1422"/>
        </w:trPr>
        <w:tc>
          <w:tcPr>
            <w:tcW w:w="593" w:type="dxa"/>
            <w:vMerge w:val="restart"/>
            <w:shd w:val="clear" w:color="auto" w:fill="auto"/>
            <w:vAlign w:val="center"/>
            <w:hideMark/>
          </w:tcPr>
          <w:p w14:paraId="16E57326" w14:textId="77777777" w:rsidR="006F25E5" w:rsidRPr="00617266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6172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E</w:t>
            </w:r>
          </w:p>
        </w:tc>
        <w:tc>
          <w:tcPr>
            <w:tcW w:w="1504" w:type="dxa"/>
            <w:vMerge w:val="restart"/>
            <w:shd w:val="clear" w:color="auto" w:fill="auto"/>
            <w:vAlign w:val="center"/>
            <w:hideMark/>
          </w:tcPr>
          <w:p w14:paraId="7B7F25C2" w14:textId="77777777" w:rsidR="006F25E5" w:rsidRPr="00C25287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ECONÓMICO</w:t>
            </w:r>
          </w:p>
        </w:tc>
        <w:tc>
          <w:tcPr>
            <w:tcW w:w="2293" w:type="dxa"/>
            <w:shd w:val="clear" w:color="auto" w:fill="auto"/>
            <w:hideMark/>
          </w:tcPr>
          <w:p w14:paraId="53461AC0" w14:textId="77777777" w:rsidR="00596F4C" w:rsidRPr="00C25287" w:rsidRDefault="00596F4C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57D88314" w14:textId="1427BB38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Crecimiento del sector </w:t>
            </w:r>
          </w:p>
        </w:tc>
        <w:tc>
          <w:tcPr>
            <w:tcW w:w="6307" w:type="dxa"/>
            <w:shd w:val="clear" w:color="auto" w:fill="auto"/>
            <w:hideMark/>
          </w:tcPr>
          <w:p w14:paraId="28297CFE" w14:textId="219E74D6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El mercado de alimentos y bebidas en Colombia presenta una expansión continua. Durante los últimos diez años, la industria de bebidas en Colombia ha presentado crecimientos anuales entre el 5 % y el 8 %. [</w:t>
            </w:r>
            <w:r w:rsidR="2BAE956B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15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 Sin embargo, según la EMMET con respecto al año 2019 se presenta una variación de -16,8% en cuanto a la producción en la industria de bebidas</w:t>
            </w:r>
            <w:r w:rsidR="006172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[</w:t>
            </w:r>
            <w:r w:rsidR="7A22D9F3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16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</w:t>
            </w:r>
            <w:r w:rsidR="006172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</w:tr>
      <w:tr w:rsidR="006F25E5" w:rsidRPr="00E23EB2" w14:paraId="36ED0573" w14:textId="77777777" w:rsidTr="003C76A0">
        <w:trPr>
          <w:trHeight w:val="588"/>
        </w:trPr>
        <w:tc>
          <w:tcPr>
            <w:tcW w:w="593" w:type="dxa"/>
            <w:vMerge/>
            <w:vAlign w:val="center"/>
            <w:hideMark/>
          </w:tcPr>
          <w:p w14:paraId="3895A645" w14:textId="77777777" w:rsidR="006F25E5" w:rsidRPr="00617266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60186700" w14:textId="77777777" w:rsidR="006F25E5" w:rsidRPr="00C25287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30B0F8AD" w14:textId="77777777" w:rsidR="00596F4C" w:rsidRPr="00C25287" w:rsidRDefault="00596F4C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23346536" w14:textId="437D158F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Tasa de desempleo</w:t>
            </w:r>
          </w:p>
        </w:tc>
        <w:tc>
          <w:tcPr>
            <w:tcW w:w="6307" w:type="dxa"/>
            <w:shd w:val="clear" w:color="auto" w:fill="auto"/>
            <w:hideMark/>
          </w:tcPr>
          <w:p w14:paraId="3441C550" w14:textId="4BB0B03F" w:rsidR="006F25E5" w:rsidRPr="00C25287" w:rsidRDefault="78D488F8" w:rsidP="487C9AB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Según la Gran Encuesta Integrada de Hogares (GEIH) </w:t>
            </w:r>
            <w:r w:rsidR="5D1BEB2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l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a tasa de desempleo del país en julio de 2020 fue 20,2%, 9,5 p.p. más que lo registrado en el mismo mes del año anterior (10,7%) [</w:t>
            </w:r>
            <w:r w:rsidR="643E04D5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20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].</w:t>
            </w:r>
            <w:r w:rsidR="4AB3226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E</w:t>
            </w:r>
            <w:r w:rsidR="4AB32267" w:rsidRPr="00C25287">
              <w:rPr>
                <w:rFonts w:ascii="Times New Roman" w:eastAsia="Calibri" w:hAnsi="Times New Roman" w:cs="Times New Roman"/>
                <w:sz w:val="16"/>
                <w:szCs w:val="16"/>
              </w:rPr>
              <w:t>l aprovechamiento de residuos orgánicos también genera beneficios económicos en términos de creación de</w:t>
            </w:r>
            <w:r w:rsidR="006172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4AB32267" w:rsidRPr="00C25287">
              <w:rPr>
                <w:rFonts w:ascii="Times New Roman" w:eastAsia="Calibri" w:hAnsi="Times New Roman" w:cs="Times New Roman"/>
                <w:sz w:val="16"/>
                <w:szCs w:val="16"/>
              </w:rPr>
              <w:t>empleos, lo mismo a escala de proyecto que en los ámbitos regional y nacional, lo que se traduce, a su vez, en un</w:t>
            </w:r>
            <w:r w:rsidR="006172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4AB32267" w:rsidRPr="00C2528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incremento del producto interno </w:t>
            </w:r>
            <w:r w:rsidR="30EA7936" w:rsidRPr="00C25287">
              <w:rPr>
                <w:rFonts w:ascii="Times New Roman" w:eastAsia="Calibri" w:hAnsi="Times New Roman" w:cs="Times New Roman"/>
                <w:sz w:val="16"/>
                <w:szCs w:val="16"/>
              </w:rPr>
              <w:t>bruto [</w:t>
            </w:r>
            <w:r w:rsidR="14F0B825" w:rsidRPr="00C25287">
              <w:rPr>
                <w:rFonts w:ascii="Times New Roman" w:eastAsia="Calibri" w:hAnsi="Times New Roman" w:cs="Times New Roman"/>
                <w:sz w:val="16"/>
                <w:szCs w:val="16"/>
              </w:rPr>
              <w:t>21</w:t>
            </w:r>
            <w:r w:rsidR="4AB32267" w:rsidRPr="00C25287">
              <w:rPr>
                <w:rFonts w:ascii="Times New Roman" w:eastAsia="Calibri" w:hAnsi="Times New Roman" w:cs="Times New Roman"/>
                <w:sz w:val="16"/>
                <w:szCs w:val="16"/>
              </w:rPr>
              <w:t>]</w:t>
            </w:r>
            <w:r w:rsidR="00617266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3F5273F9" w14:textId="1AB111DB" w:rsidR="006F25E5" w:rsidRPr="00C25287" w:rsidRDefault="006F25E5" w:rsidP="487C9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2C1B85E9" w14:textId="75CD91D3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6F25E5" w:rsidRPr="00E23EB2" w14:paraId="0FF96763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4082404D" w14:textId="77777777" w:rsidR="006F25E5" w:rsidRPr="00617266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5FE9A708" w14:textId="77777777" w:rsidR="006F25E5" w:rsidRPr="00C25287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1F9E264C" w14:textId="77777777" w:rsidR="00596F4C" w:rsidRPr="00C25287" w:rsidRDefault="00596F4C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21B9CEAD" w14:textId="1040C3A4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Plagas y controles fitosanitarios</w:t>
            </w:r>
          </w:p>
        </w:tc>
        <w:tc>
          <w:tcPr>
            <w:tcW w:w="6307" w:type="dxa"/>
            <w:shd w:val="clear" w:color="auto" w:fill="auto"/>
            <w:hideMark/>
          </w:tcPr>
          <w:p w14:paraId="35457A07" w14:textId="542FD14A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La ola invernal amenaza gravemente las plantaciones, debido a que el aumento y la frecuencia de las precipitaciones aumenta los contenidos de humedad en el aire y suelo, favoreciendo la incidencia y severidad de plagas y enfermedades que limitan la capacidad productiva de los cultivos de cítricos, pues demeritan la calidad y el rendimiento de las producciones, e incrementa los costos de producción por las intervenciones realizadas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[</w:t>
            </w:r>
            <w:r w:rsidR="46892312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28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.</w:t>
            </w:r>
            <w:r w:rsidRPr="00C25287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Por otra parte, a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causa de los excesos de humedad ambiental, se increment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a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el ataque de plagas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[</w:t>
            </w:r>
            <w:r w:rsidR="1E1E9E68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28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].</w:t>
            </w:r>
          </w:p>
          <w:p w14:paraId="703A847B" w14:textId="5B891708" w:rsidR="004108A7" w:rsidRPr="00C25287" w:rsidRDefault="004108A7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6F25E5" w:rsidRPr="00E23EB2" w14:paraId="49F8327D" w14:textId="77777777" w:rsidTr="003C76A0">
        <w:trPr>
          <w:trHeight w:val="566"/>
        </w:trPr>
        <w:tc>
          <w:tcPr>
            <w:tcW w:w="593" w:type="dxa"/>
            <w:vMerge/>
            <w:vAlign w:val="center"/>
            <w:hideMark/>
          </w:tcPr>
          <w:p w14:paraId="039C21BB" w14:textId="77777777" w:rsidR="006F25E5" w:rsidRPr="00617266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17C6C7B8" w14:textId="77777777" w:rsidR="006F25E5" w:rsidRPr="00C25287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79DDFBD6" w14:textId="77777777" w:rsidR="00596F4C" w:rsidRPr="00C25287" w:rsidRDefault="00596F4C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3FE8ADF1" w14:textId="11300289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Precios de la materia prima son variantes dependiendo la </w:t>
            </w:r>
            <w:r w:rsidR="004108A7"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época</w:t>
            </w: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del año</w:t>
            </w:r>
          </w:p>
        </w:tc>
        <w:tc>
          <w:tcPr>
            <w:tcW w:w="6307" w:type="dxa"/>
            <w:shd w:val="clear" w:color="auto" w:fill="auto"/>
            <w:hideMark/>
          </w:tcPr>
          <w:p w14:paraId="692C3237" w14:textId="536B1BE9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La cosecha de 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cítricos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en Colombia se presenta en 2 partes, la principal con el 70% de la producción total nacional, ocurre entre mayo y agosto, y el restante se tiene entre septiembre y diciembre. Esto significa que una buena parte del año el mercado está abastecido con muy poca fruta, especialmente entre enero y abril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[</w:t>
            </w:r>
            <w:r w:rsidR="13E2677B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30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.</w:t>
            </w:r>
          </w:p>
          <w:p w14:paraId="5C65D70F" w14:textId="25167250" w:rsidR="004108A7" w:rsidRPr="00C25287" w:rsidRDefault="004108A7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6F25E5" w:rsidRPr="00E23EB2" w14:paraId="29406FD6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51B5CFA8" w14:textId="77777777" w:rsidR="006F25E5" w:rsidRPr="00617266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46EC4F99" w14:textId="77777777" w:rsidR="006F25E5" w:rsidRPr="00C25287" w:rsidRDefault="006F25E5" w:rsidP="0077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005F04DF" w14:textId="77777777" w:rsidR="00596F4C" w:rsidRPr="00C25287" w:rsidRDefault="00596F4C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72B68C2D" w14:textId="5413382D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Tasa de inflación</w:t>
            </w:r>
          </w:p>
        </w:tc>
        <w:tc>
          <w:tcPr>
            <w:tcW w:w="6307" w:type="dxa"/>
            <w:shd w:val="clear" w:color="auto" w:fill="auto"/>
            <w:hideMark/>
          </w:tcPr>
          <w:p w14:paraId="5ABD4F7C" w14:textId="5082D85D" w:rsidR="006F25E5" w:rsidRPr="00C25287" w:rsidRDefault="006F25E5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Inflación anual de Colombia a julio fue de 1,97 %, la más baja en 7 años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.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El sector de Alimentos y bebidas no alcohólicas presentó, una variación del 5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% [</w:t>
            </w:r>
            <w:r w:rsidR="049494B5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32</w:t>
            </w:r>
            <w:r w:rsidR="004108A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].</w:t>
            </w:r>
          </w:p>
          <w:p w14:paraId="602C9441" w14:textId="4A1D2265" w:rsidR="00FD4C2E" w:rsidRPr="00C25287" w:rsidRDefault="00FD4C2E" w:rsidP="00774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6F25E5" w:rsidRPr="00E23EB2" w14:paraId="073BBBDD" w14:textId="77777777" w:rsidTr="003C76A0">
        <w:trPr>
          <w:trHeight w:val="344"/>
        </w:trPr>
        <w:tc>
          <w:tcPr>
            <w:tcW w:w="593" w:type="dxa"/>
            <w:vMerge/>
            <w:vAlign w:val="center"/>
          </w:tcPr>
          <w:p w14:paraId="7B6B658C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</w:tcPr>
          <w:p w14:paraId="6223A04C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601" w:type="dxa"/>
            <w:gridSpan w:val="2"/>
            <w:shd w:val="clear" w:color="auto" w:fill="auto"/>
          </w:tcPr>
          <w:p w14:paraId="48A54458" w14:textId="5975C66E" w:rsidR="00FD4C2E" w:rsidRPr="00C25287" w:rsidRDefault="006F25E5" w:rsidP="00C7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Llegada de inversión interesada en nuevos proyectos productivos</w:t>
            </w:r>
          </w:p>
        </w:tc>
      </w:tr>
      <w:tr w:rsidR="006F25E5" w:rsidRPr="00E23EB2" w14:paraId="2EBC4DF6" w14:textId="77777777" w:rsidTr="003C76A0">
        <w:trPr>
          <w:trHeight w:val="344"/>
        </w:trPr>
        <w:tc>
          <w:tcPr>
            <w:tcW w:w="593" w:type="dxa"/>
            <w:vMerge/>
            <w:vAlign w:val="center"/>
          </w:tcPr>
          <w:p w14:paraId="265DE627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</w:tcPr>
          <w:p w14:paraId="7B531D63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601" w:type="dxa"/>
            <w:gridSpan w:val="2"/>
            <w:shd w:val="clear" w:color="auto" w:fill="auto"/>
          </w:tcPr>
          <w:p w14:paraId="68DE2EF5" w14:textId="7967FD06" w:rsidR="00FD4C2E" w:rsidRPr="00C25287" w:rsidRDefault="006F25E5" w:rsidP="00C7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Corrupción</w:t>
            </w:r>
          </w:p>
        </w:tc>
      </w:tr>
      <w:tr w:rsidR="006F25E5" w:rsidRPr="00E23EB2" w14:paraId="5A98E5F2" w14:textId="77777777" w:rsidTr="003C76A0">
        <w:trPr>
          <w:trHeight w:val="344"/>
        </w:trPr>
        <w:tc>
          <w:tcPr>
            <w:tcW w:w="593" w:type="dxa"/>
            <w:vMerge w:val="restart"/>
            <w:shd w:val="clear" w:color="auto" w:fill="auto"/>
            <w:vAlign w:val="center"/>
            <w:hideMark/>
          </w:tcPr>
          <w:p w14:paraId="280F1FA3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6172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1504" w:type="dxa"/>
            <w:vMerge w:val="restart"/>
            <w:shd w:val="clear" w:color="auto" w:fill="auto"/>
            <w:vAlign w:val="center"/>
            <w:hideMark/>
          </w:tcPr>
          <w:p w14:paraId="673D8136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SOCIAL</w:t>
            </w:r>
          </w:p>
        </w:tc>
        <w:tc>
          <w:tcPr>
            <w:tcW w:w="2293" w:type="dxa"/>
            <w:shd w:val="clear" w:color="auto" w:fill="auto"/>
            <w:hideMark/>
          </w:tcPr>
          <w:p w14:paraId="3D92DC05" w14:textId="01077EDB" w:rsidR="006F25E5" w:rsidRPr="00C25287" w:rsidRDefault="00FD4C2E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Hábitos</w:t>
            </w:r>
            <w:r w:rsidR="006F25E5"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y tendencias del consumo nacional</w:t>
            </w:r>
          </w:p>
        </w:tc>
        <w:tc>
          <w:tcPr>
            <w:tcW w:w="6307" w:type="dxa"/>
            <w:shd w:val="clear" w:color="auto" w:fill="auto"/>
            <w:hideMark/>
          </w:tcPr>
          <w:p w14:paraId="55A58247" w14:textId="7F8ACF52" w:rsidR="00FD4C2E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En los últimos años, el consumo de bebidas saludables ha aumentado cerca del 10% y es el segmento que más se expande en el sector de alimentos [</w:t>
            </w:r>
            <w:r w:rsidR="00FD4C2E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1</w:t>
            </w:r>
            <w:r w:rsidR="2BFE73CD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7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</w:t>
            </w:r>
            <w:r w:rsidR="00FD4C2E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.</w:t>
            </w:r>
          </w:p>
          <w:p w14:paraId="460F78C5" w14:textId="179A4F3C" w:rsidR="00FD4C2E" w:rsidRPr="00C25287" w:rsidRDefault="00FD4C2E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6F25E5" w:rsidRPr="00E23EB2" w14:paraId="4EDD516E" w14:textId="77777777" w:rsidTr="003C76A0">
        <w:trPr>
          <w:trHeight w:val="518"/>
        </w:trPr>
        <w:tc>
          <w:tcPr>
            <w:tcW w:w="593" w:type="dxa"/>
            <w:vMerge/>
            <w:vAlign w:val="center"/>
            <w:hideMark/>
          </w:tcPr>
          <w:p w14:paraId="30ECCD7D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07940DBA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0CCACE7F" w14:textId="77777777" w:rsidR="00596F4C" w:rsidRPr="00C25287" w:rsidRDefault="00596F4C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55DF5FD3" w14:textId="21531EA1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Conciencia ecológica</w:t>
            </w:r>
          </w:p>
        </w:tc>
        <w:tc>
          <w:tcPr>
            <w:tcW w:w="6307" w:type="dxa"/>
            <w:shd w:val="clear" w:color="auto" w:fill="auto"/>
            <w:hideMark/>
          </w:tcPr>
          <w:p w14:paraId="4801919C" w14:textId="00567266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Un estudio global realizado por la consultora Nielsen evidencia cómo los consumidores colombianos piden mayor sostenibilidad por parte de las empresas. </w:t>
            </w:r>
            <w:r w:rsidR="00534EC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Los Consumidores q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uieren productos amigables no solo con la salud, sino con el planeta</w:t>
            </w:r>
            <w:r w:rsidR="009F483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[</w:t>
            </w:r>
            <w:r w:rsidR="0E990F09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24</w:t>
            </w:r>
            <w:r w:rsidR="009F483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 [</w:t>
            </w:r>
            <w:r w:rsidR="6239D224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25</w:t>
            </w:r>
            <w:r w:rsidR="009F4837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.</w:t>
            </w:r>
          </w:p>
          <w:p w14:paraId="756C17E3" w14:textId="23AD3CC8" w:rsidR="009F4837" w:rsidRPr="00C25287" w:rsidRDefault="009F4837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6F25E5" w:rsidRPr="00E23EB2" w14:paraId="2E844976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1B89CD71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109B31C9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2CD1954E" w14:textId="57CC666D" w:rsidR="00BA6C75" w:rsidRPr="00C25287" w:rsidRDefault="006F25E5" w:rsidP="00C7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Paros agrarios y manifestaciones de los proveedores de materias primas</w:t>
            </w:r>
          </w:p>
        </w:tc>
        <w:tc>
          <w:tcPr>
            <w:tcW w:w="6307" w:type="dxa"/>
            <w:shd w:val="clear" w:color="auto" w:fill="auto"/>
            <w:hideMark/>
          </w:tcPr>
          <w:p w14:paraId="50408BB0" w14:textId="77777777" w:rsidR="00596F4C" w:rsidRPr="00C25287" w:rsidRDefault="00596F4C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7F59AE65" w14:textId="2FF11F0A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Ocasionan escases de productos y aumento en los precios.</w:t>
            </w:r>
          </w:p>
        </w:tc>
      </w:tr>
      <w:tr w:rsidR="00BA6C75" w:rsidRPr="00E23EB2" w14:paraId="74276DCC" w14:textId="77777777" w:rsidTr="003C76A0">
        <w:trPr>
          <w:trHeight w:val="344"/>
        </w:trPr>
        <w:tc>
          <w:tcPr>
            <w:tcW w:w="593" w:type="dxa"/>
            <w:vMerge w:val="restart"/>
            <w:shd w:val="clear" w:color="auto" w:fill="auto"/>
            <w:vAlign w:val="center"/>
            <w:hideMark/>
          </w:tcPr>
          <w:p w14:paraId="2402F595" w14:textId="77777777" w:rsidR="00BA6C75" w:rsidRPr="00617266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6172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T</w:t>
            </w:r>
          </w:p>
        </w:tc>
        <w:tc>
          <w:tcPr>
            <w:tcW w:w="1504" w:type="dxa"/>
            <w:vMerge w:val="restart"/>
            <w:shd w:val="clear" w:color="auto" w:fill="auto"/>
            <w:vAlign w:val="center"/>
            <w:hideMark/>
          </w:tcPr>
          <w:p w14:paraId="20941412" w14:textId="77777777" w:rsidR="00BA6C75" w:rsidRPr="00C25287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TECNOLÓGICO</w:t>
            </w:r>
          </w:p>
        </w:tc>
        <w:tc>
          <w:tcPr>
            <w:tcW w:w="8601" w:type="dxa"/>
            <w:gridSpan w:val="2"/>
            <w:shd w:val="clear" w:color="auto" w:fill="auto"/>
            <w:hideMark/>
          </w:tcPr>
          <w:p w14:paraId="0F2406D9" w14:textId="57824F6B" w:rsidR="00BA6C75" w:rsidRPr="00C25287" w:rsidRDefault="00BA6C75" w:rsidP="00C7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Cadena de valor</w:t>
            </w:r>
          </w:p>
        </w:tc>
      </w:tr>
      <w:tr w:rsidR="00BA6C75" w:rsidRPr="00E23EB2" w14:paraId="3C347331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27AC2971" w14:textId="77777777" w:rsidR="00BA6C75" w:rsidRPr="00617266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12BE911F" w14:textId="77777777" w:rsidR="00BA6C75" w:rsidRPr="00C25287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601" w:type="dxa"/>
            <w:gridSpan w:val="2"/>
            <w:shd w:val="clear" w:color="auto" w:fill="auto"/>
            <w:hideMark/>
          </w:tcPr>
          <w:p w14:paraId="1B6992E1" w14:textId="3F90C951" w:rsidR="00BA6C75" w:rsidRPr="00C25287" w:rsidRDefault="20CB07AB" w:rsidP="487C9AB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Inversión </w:t>
            </w:r>
            <w:r w:rsidR="7C352384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gubernamental en investigación</w:t>
            </w:r>
            <w:r w:rsidR="21F370A5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: Es</w:t>
            </w:r>
            <w:r w:rsidR="21F370A5" w:rsidRPr="00C2528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importante aumentar la inversión pública y privada en Ciencia, Tecnología e Innovación, con el fin de “aumentar la productividad de la economía, la sostenibilidad ambiental y el progreso social a través de mejores productos, servicios y actividades creativas.</w:t>
            </w:r>
            <w:r w:rsidR="25F7DDF8" w:rsidRPr="00C2528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BA6C75" w:rsidRPr="00E23EB2" w14:paraId="1F99CE73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4333F425" w14:textId="77777777" w:rsidR="00BA6C75" w:rsidRPr="00617266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3B2A0503" w14:textId="77777777" w:rsidR="00BA6C75" w:rsidRPr="00C25287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601" w:type="dxa"/>
            <w:gridSpan w:val="2"/>
            <w:shd w:val="clear" w:color="auto" w:fill="auto"/>
            <w:hideMark/>
          </w:tcPr>
          <w:p w14:paraId="19BA6AA4" w14:textId="2EAF9FE3" w:rsidR="00BA6C75" w:rsidRPr="00C25287" w:rsidRDefault="00BA6C7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Ciclo de vida y obsolescencia tecnológica</w:t>
            </w:r>
          </w:p>
        </w:tc>
      </w:tr>
      <w:tr w:rsidR="00BA6C75" w:rsidRPr="00E23EB2" w14:paraId="20A8303B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6A91E672" w14:textId="77777777" w:rsidR="00BA6C75" w:rsidRPr="00617266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7A4286FE" w14:textId="77777777" w:rsidR="00BA6C75" w:rsidRPr="00C25287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601" w:type="dxa"/>
            <w:gridSpan w:val="2"/>
            <w:shd w:val="clear" w:color="auto" w:fill="auto"/>
            <w:hideMark/>
          </w:tcPr>
          <w:p w14:paraId="22C2A7B3" w14:textId="617F5D53" w:rsidR="00BA6C75" w:rsidRPr="00C25287" w:rsidRDefault="00BA6C7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Uso y cotos de energías</w:t>
            </w:r>
          </w:p>
        </w:tc>
      </w:tr>
      <w:tr w:rsidR="00BA6C75" w:rsidRPr="00E23EB2" w14:paraId="35501406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6F4F15BB" w14:textId="77777777" w:rsidR="00BA6C75" w:rsidRPr="00617266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4801A004" w14:textId="77777777" w:rsidR="00BA6C75" w:rsidRPr="00C25287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601" w:type="dxa"/>
            <w:gridSpan w:val="2"/>
            <w:shd w:val="clear" w:color="auto" w:fill="auto"/>
            <w:hideMark/>
          </w:tcPr>
          <w:p w14:paraId="0D8152BF" w14:textId="2F4864C3" w:rsidR="00BA6C75" w:rsidRPr="00C25287" w:rsidRDefault="00BA6C7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Cambios en los sistemas de producción </w:t>
            </w:r>
          </w:p>
        </w:tc>
      </w:tr>
      <w:tr w:rsidR="00BA6C75" w:rsidRPr="00E23EB2" w14:paraId="1A607ABB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5C1CF6B8" w14:textId="77777777" w:rsidR="00BA6C75" w:rsidRPr="00617266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5E31CC71" w14:textId="77777777" w:rsidR="00BA6C75" w:rsidRPr="00C25287" w:rsidRDefault="00BA6C7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601" w:type="dxa"/>
            <w:gridSpan w:val="2"/>
            <w:shd w:val="clear" w:color="auto" w:fill="auto"/>
            <w:hideMark/>
          </w:tcPr>
          <w:p w14:paraId="50990BA4" w14:textId="628FD7DE" w:rsidR="00BA6C75" w:rsidRPr="00C25287" w:rsidRDefault="00BA6C7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Altos costos de maquinaria </w:t>
            </w:r>
          </w:p>
        </w:tc>
      </w:tr>
      <w:tr w:rsidR="006F25E5" w:rsidRPr="00E23EB2" w14:paraId="7BB74B7D" w14:textId="77777777" w:rsidTr="003C76A0">
        <w:trPr>
          <w:trHeight w:val="512"/>
        </w:trPr>
        <w:tc>
          <w:tcPr>
            <w:tcW w:w="593" w:type="dxa"/>
            <w:vMerge w:val="restart"/>
            <w:shd w:val="clear" w:color="auto" w:fill="auto"/>
            <w:vAlign w:val="center"/>
            <w:hideMark/>
          </w:tcPr>
          <w:p w14:paraId="02511DD9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6172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E</w:t>
            </w:r>
          </w:p>
        </w:tc>
        <w:tc>
          <w:tcPr>
            <w:tcW w:w="1504" w:type="dxa"/>
            <w:vMerge w:val="restart"/>
            <w:shd w:val="clear" w:color="auto" w:fill="auto"/>
            <w:vAlign w:val="center"/>
            <w:hideMark/>
          </w:tcPr>
          <w:p w14:paraId="7CF2AD00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ECOLÓGICO</w:t>
            </w:r>
          </w:p>
        </w:tc>
        <w:tc>
          <w:tcPr>
            <w:tcW w:w="2293" w:type="dxa"/>
            <w:shd w:val="clear" w:color="auto" w:fill="auto"/>
            <w:hideMark/>
          </w:tcPr>
          <w:p w14:paraId="29BF155F" w14:textId="77777777" w:rsidR="00596F4C" w:rsidRPr="00C25287" w:rsidRDefault="00596F4C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04E3C86D" w14:textId="573BBC99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Producción y Consumo Sostenible</w:t>
            </w:r>
          </w:p>
        </w:tc>
        <w:tc>
          <w:tcPr>
            <w:tcW w:w="6307" w:type="dxa"/>
            <w:shd w:val="clear" w:color="auto" w:fill="auto"/>
            <w:hideMark/>
          </w:tcPr>
          <w:p w14:paraId="318CA589" w14:textId="19992C02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La Política de Producción y Consumo Sostenible se orienta a cambiar los patrones insostenibles de producción y consumo por parte de los diferentes actores de la sociedad nacional, lo que contribuirá a reducir la contaminación, conservar los recursos, favorecer la integridad ambiental de los bienes y servicios y estimular el uso sostenible de la biodiversidad, como fuentes de la competitividad empresarial y de la calidad de vida</w:t>
            </w:r>
            <w:r w:rsidR="00C76B5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[1</w:t>
            </w:r>
            <w:r w:rsidR="4AE0B04A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8</w:t>
            </w:r>
            <w:r w:rsidR="00C76B5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].</w:t>
            </w:r>
          </w:p>
        </w:tc>
      </w:tr>
      <w:tr w:rsidR="006F25E5" w:rsidRPr="00E23EB2" w14:paraId="6E1F7B84" w14:textId="77777777" w:rsidTr="003C76A0">
        <w:trPr>
          <w:trHeight w:val="967"/>
        </w:trPr>
        <w:tc>
          <w:tcPr>
            <w:tcW w:w="593" w:type="dxa"/>
            <w:vMerge/>
            <w:vAlign w:val="center"/>
            <w:hideMark/>
          </w:tcPr>
          <w:p w14:paraId="41D7E8A1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130449D3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7AEC49D3" w14:textId="77777777" w:rsidR="00596F4C" w:rsidRPr="00C25287" w:rsidRDefault="00596F4C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2690D542" w14:textId="22A3A48C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Plan Nacional de Negocios Verdes</w:t>
            </w:r>
          </w:p>
        </w:tc>
        <w:tc>
          <w:tcPr>
            <w:tcW w:w="6307" w:type="dxa"/>
            <w:shd w:val="clear" w:color="auto" w:fill="auto"/>
            <w:hideMark/>
          </w:tcPr>
          <w:p w14:paraId="1D5201E5" w14:textId="17C750E4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El objetivo de la Política es dirigir los patrones de producción y consumo de la sociedad</w:t>
            </w:r>
            <w:r w:rsidR="00C76B5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colombiana hacia la sostenibilidad</w:t>
            </w:r>
            <w:r w:rsidR="00C76B5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ambiental, contribuyendo a la competitividad de las</w:t>
            </w:r>
            <w:r w:rsidR="00C76B5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empresas y al bienestar de la población. Se pretende generar oferta y demanda de</w:t>
            </w:r>
            <w:r w:rsidR="00C76B5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bienes y servicios más sostenibles en los mercados, reducir la contaminación, conservar</w:t>
            </w:r>
            <w:r w:rsidR="00C76B5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los recursos naturales y fomentar el uso sostenible de la biodiversidad, todo esto como</w:t>
            </w:r>
            <w:r w:rsidR="00C76B5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fuente de</w:t>
            </w:r>
            <w:r w:rsidR="00C76B5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competitividad empresarial</w:t>
            </w:r>
            <w:r w:rsidR="004E727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[</w:t>
            </w:r>
            <w:r w:rsidR="1C72D11E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22</w:t>
            </w:r>
            <w:r w:rsidR="004E727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</w:tr>
      <w:tr w:rsidR="006F25E5" w:rsidRPr="00E23EB2" w14:paraId="3E796F50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48D2622D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4A0D2F7D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76E3B1C3" w14:textId="1B05BF93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Desechos </w:t>
            </w:r>
            <w:r w:rsidR="00C76B5C"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orgánicos</w:t>
            </w: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que contaminan el medio ambiente</w:t>
            </w:r>
          </w:p>
        </w:tc>
        <w:tc>
          <w:tcPr>
            <w:tcW w:w="6307" w:type="dxa"/>
            <w:shd w:val="clear" w:color="auto" w:fill="auto"/>
            <w:hideMark/>
          </w:tcPr>
          <w:p w14:paraId="18278080" w14:textId="152A6FB2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No realizar un correcto tratamiento de los residuos orgánicos de los frutos </w:t>
            </w:r>
            <w:r w:rsidR="00C76B5C"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cítricos</w:t>
            </w: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puede ocasionar contaminación al agua, suelo y aire.</w:t>
            </w:r>
          </w:p>
        </w:tc>
      </w:tr>
      <w:tr w:rsidR="006F25E5" w:rsidRPr="00E23EB2" w14:paraId="40B5C6CC" w14:textId="77777777" w:rsidTr="003C76A0">
        <w:trPr>
          <w:trHeight w:val="886"/>
        </w:trPr>
        <w:tc>
          <w:tcPr>
            <w:tcW w:w="593" w:type="dxa"/>
            <w:vMerge/>
            <w:vAlign w:val="center"/>
            <w:hideMark/>
          </w:tcPr>
          <w:p w14:paraId="53B02E79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28F3ACB4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05F97D9E" w14:textId="77777777" w:rsidR="00596F4C" w:rsidRPr="00C25287" w:rsidRDefault="00596F4C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  <w:p w14:paraId="27353994" w14:textId="55D921FB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Interés de las empresas en implementar economía circular</w:t>
            </w:r>
          </w:p>
        </w:tc>
        <w:tc>
          <w:tcPr>
            <w:tcW w:w="6307" w:type="dxa"/>
            <w:shd w:val="clear" w:color="auto" w:fill="auto"/>
            <w:hideMark/>
          </w:tcPr>
          <w:p w14:paraId="3FEEA17B" w14:textId="710B36D2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Puesto que le economía circular es una estrategia que busca generar crecimiento económico optimizando el uso de recursos, incrementando la vida útil de los productos y reduciendo la generación de contaminación e impactos ambientales negativos. Esta estrategia le permitirá a la empresa generar ahorros al optimizar la gestión de la materia prima, optimizar costos al optimizar la gestión de los desperdicios y generar nuevos ingresos mediante la generación de nuevas</w:t>
            </w:r>
            <w:r w:rsidR="003C76A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oportunidades de negocio</w:t>
            </w:r>
            <w:r w:rsidR="004E727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[</w:t>
            </w:r>
            <w:r w:rsidR="1279F852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26</w:t>
            </w:r>
            <w:r w:rsidR="004E727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. </w:t>
            </w:r>
          </w:p>
        </w:tc>
      </w:tr>
      <w:tr w:rsidR="006F25E5" w:rsidRPr="00E23EB2" w14:paraId="5890AB78" w14:textId="77777777" w:rsidTr="003C76A0">
        <w:trPr>
          <w:trHeight w:val="344"/>
        </w:trPr>
        <w:tc>
          <w:tcPr>
            <w:tcW w:w="593" w:type="dxa"/>
            <w:vMerge w:val="restart"/>
            <w:shd w:val="clear" w:color="auto" w:fill="auto"/>
            <w:vAlign w:val="center"/>
            <w:hideMark/>
          </w:tcPr>
          <w:p w14:paraId="18985528" w14:textId="77777777" w:rsidR="006F25E5" w:rsidRPr="00617266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6172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L</w:t>
            </w:r>
          </w:p>
        </w:tc>
        <w:tc>
          <w:tcPr>
            <w:tcW w:w="1504" w:type="dxa"/>
            <w:vMerge w:val="restart"/>
            <w:shd w:val="clear" w:color="auto" w:fill="auto"/>
            <w:vAlign w:val="center"/>
            <w:hideMark/>
          </w:tcPr>
          <w:p w14:paraId="2707993A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LEGAL</w:t>
            </w:r>
          </w:p>
        </w:tc>
        <w:tc>
          <w:tcPr>
            <w:tcW w:w="2293" w:type="dxa"/>
            <w:shd w:val="clear" w:color="auto" w:fill="auto"/>
            <w:hideMark/>
          </w:tcPr>
          <w:p w14:paraId="698E1AAA" w14:textId="77777777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Normas y regulaciones ambientales Ministerio de Ambiente y desarrollo sostenible</w:t>
            </w:r>
          </w:p>
        </w:tc>
        <w:tc>
          <w:tcPr>
            <w:tcW w:w="6307" w:type="dxa"/>
            <w:shd w:val="clear" w:color="auto" w:fill="auto"/>
            <w:hideMark/>
          </w:tcPr>
          <w:p w14:paraId="0BA1C85F" w14:textId="3B3D184C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Decreto Único Reglamentario del Sector Ambiente y Desarrollo Sostenible, en el cual se encuentra</w:t>
            </w:r>
            <w:r w:rsidR="7E0142FB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n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contenido</w:t>
            </w:r>
            <w:r w:rsidR="2078FA92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s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aspectos relacionado</w:t>
            </w:r>
            <w:r w:rsidR="1B6AEB33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s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al tratamiento y disposición de residuos sólidos orgánicos en el ambiente</w:t>
            </w:r>
            <w:r w:rsidR="004E727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[1</w:t>
            </w:r>
            <w:r w:rsidR="5CB5E102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9</w:t>
            </w:r>
            <w:r w:rsidR="004E727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</w:t>
            </w: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</w:tr>
      <w:tr w:rsidR="006F25E5" w:rsidRPr="00E23EB2" w14:paraId="1DA869E8" w14:textId="77777777" w:rsidTr="003C76A0">
        <w:trPr>
          <w:trHeight w:val="492"/>
        </w:trPr>
        <w:tc>
          <w:tcPr>
            <w:tcW w:w="593" w:type="dxa"/>
            <w:vMerge/>
            <w:vAlign w:val="center"/>
            <w:hideMark/>
          </w:tcPr>
          <w:p w14:paraId="410EF4F5" w14:textId="77777777" w:rsidR="006F25E5" w:rsidRPr="00E23EB2" w:rsidRDefault="006F25E5" w:rsidP="006F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75D83716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02C65044" w14:textId="77777777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Normatividad sobre residuos sólidos orgánicos en Colombia </w:t>
            </w:r>
          </w:p>
        </w:tc>
        <w:tc>
          <w:tcPr>
            <w:tcW w:w="6307" w:type="dxa"/>
            <w:shd w:val="clear" w:color="auto" w:fill="auto"/>
            <w:hideMark/>
          </w:tcPr>
          <w:p w14:paraId="0D01EB31" w14:textId="25045E2A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Mapa normativo para el aprovechamiento de los residuos sólidos orgánicos en Colombia. Contiene las normas, leyes, decretos y resoluciones que regulan el aprovechamiento de los residuos sólidos orgánicos en Colombia </w:t>
            </w:r>
            <w:r w:rsidR="004E727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[</w:t>
            </w:r>
            <w:r w:rsidR="21A5EA99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23</w:t>
            </w:r>
            <w:r w:rsidR="004E727C" w:rsidRPr="00C25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].</w:t>
            </w:r>
          </w:p>
        </w:tc>
      </w:tr>
      <w:tr w:rsidR="006F25E5" w:rsidRPr="00E23EB2" w14:paraId="04E9AEA6" w14:textId="77777777" w:rsidTr="003C76A0">
        <w:trPr>
          <w:trHeight w:val="344"/>
        </w:trPr>
        <w:tc>
          <w:tcPr>
            <w:tcW w:w="593" w:type="dxa"/>
            <w:vMerge/>
            <w:vAlign w:val="center"/>
            <w:hideMark/>
          </w:tcPr>
          <w:p w14:paraId="60F3AF1A" w14:textId="77777777" w:rsidR="006F25E5" w:rsidRPr="00E23EB2" w:rsidRDefault="006F25E5" w:rsidP="006F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14:paraId="7F91747C" w14:textId="77777777" w:rsidR="006F25E5" w:rsidRPr="00C25287" w:rsidRDefault="006F25E5" w:rsidP="006F2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293" w:type="dxa"/>
            <w:shd w:val="clear" w:color="auto" w:fill="auto"/>
            <w:hideMark/>
          </w:tcPr>
          <w:p w14:paraId="0A2EC11F" w14:textId="2BB65197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Legislación laboral, obligaciones y seguros</w:t>
            </w:r>
          </w:p>
        </w:tc>
        <w:tc>
          <w:tcPr>
            <w:tcW w:w="6307" w:type="dxa"/>
            <w:shd w:val="clear" w:color="auto" w:fill="auto"/>
            <w:hideMark/>
          </w:tcPr>
          <w:p w14:paraId="3EB37058" w14:textId="564316B7" w:rsidR="006F25E5" w:rsidRPr="00C25287" w:rsidRDefault="006F25E5" w:rsidP="006F2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-Ley 9 de 1979. Título III. Salud ocupacional.</w:t>
            </w:r>
            <w:r w:rsidRPr="00C252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br/>
              <w:t>- Ley 1562 de 2012. Sistema de Riesgos Laborales</w:t>
            </w:r>
            <w:r w:rsidR="003C76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14:paraId="28612CA9" w14:textId="77777777" w:rsidR="009C222A" w:rsidRDefault="009C222A"/>
    <w:p w14:paraId="45C05463" w14:textId="56FEC813" w:rsidR="487C9AB4" w:rsidRDefault="487C9AB4" w:rsidP="487C9AB4">
      <w:pPr>
        <w:ind w:left="360"/>
      </w:pPr>
    </w:p>
    <w:p w14:paraId="226696B8" w14:textId="55A04E26" w:rsidR="00CA42D5" w:rsidRDefault="00CA42D5" w:rsidP="487C9AB4"/>
    <w:p w14:paraId="53BF9E35" w14:textId="79254911" w:rsidR="00CC59B2" w:rsidRDefault="00CC59B2" w:rsidP="00CC59B2"/>
    <w:p w14:paraId="410513A0" w14:textId="77777777" w:rsidR="00CC59B2" w:rsidRDefault="00CC59B2" w:rsidP="00CC59B2"/>
    <w:sectPr w:rsidR="00CC59B2" w:rsidSect="00E23EB2">
      <w:pgSz w:w="12240" w:h="15840"/>
      <w:pgMar w:top="1077" w:right="981" w:bottom="1440" w:left="98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25D"/>
    <w:multiLevelType w:val="hybridMultilevel"/>
    <w:tmpl w:val="6EB82B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EB2"/>
    <w:rsid w:val="003C76A0"/>
    <w:rsid w:val="003F144E"/>
    <w:rsid w:val="004108A7"/>
    <w:rsid w:val="004E727C"/>
    <w:rsid w:val="00534ECC"/>
    <w:rsid w:val="00596F4C"/>
    <w:rsid w:val="00617266"/>
    <w:rsid w:val="0064135E"/>
    <w:rsid w:val="00673BA3"/>
    <w:rsid w:val="006D571F"/>
    <w:rsid w:val="006F25E5"/>
    <w:rsid w:val="007152E9"/>
    <w:rsid w:val="008D4772"/>
    <w:rsid w:val="009C222A"/>
    <w:rsid w:val="009F4837"/>
    <w:rsid w:val="00A336E1"/>
    <w:rsid w:val="00B479DD"/>
    <w:rsid w:val="00BA6C75"/>
    <w:rsid w:val="00BFB36F"/>
    <w:rsid w:val="00C25287"/>
    <w:rsid w:val="00C57506"/>
    <w:rsid w:val="00C76B5C"/>
    <w:rsid w:val="00CA42D5"/>
    <w:rsid w:val="00CC59B2"/>
    <w:rsid w:val="00DC45EE"/>
    <w:rsid w:val="00DE3EF0"/>
    <w:rsid w:val="00E23EB2"/>
    <w:rsid w:val="00E26D70"/>
    <w:rsid w:val="00F73C1F"/>
    <w:rsid w:val="00FD0C31"/>
    <w:rsid w:val="00FD4C2E"/>
    <w:rsid w:val="02D155EB"/>
    <w:rsid w:val="049494B5"/>
    <w:rsid w:val="05E9FECF"/>
    <w:rsid w:val="07B9826F"/>
    <w:rsid w:val="0D63A4E9"/>
    <w:rsid w:val="0E990F09"/>
    <w:rsid w:val="1279F852"/>
    <w:rsid w:val="13E2677B"/>
    <w:rsid w:val="149B5E8C"/>
    <w:rsid w:val="14F0B825"/>
    <w:rsid w:val="18BEE03D"/>
    <w:rsid w:val="1B6AEB33"/>
    <w:rsid w:val="1C72D11E"/>
    <w:rsid w:val="1E1E9E68"/>
    <w:rsid w:val="2078FA92"/>
    <w:rsid w:val="20CB07AB"/>
    <w:rsid w:val="21A5EA99"/>
    <w:rsid w:val="21F370A5"/>
    <w:rsid w:val="24BFCE8A"/>
    <w:rsid w:val="25F7DDF8"/>
    <w:rsid w:val="26539F43"/>
    <w:rsid w:val="27C737AC"/>
    <w:rsid w:val="2A57CC92"/>
    <w:rsid w:val="2BAE956B"/>
    <w:rsid w:val="2BFE73CD"/>
    <w:rsid w:val="30EA7936"/>
    <w:rsid w:val="31753BB0"/>
    <w:rsid w:val="34BDC464"/>
    <w:rsid w:val="3C3F014D"/>
    <w:rsid w:val="3DB00038"/>
    <w:rsid w:val="46892312"/>
    <w:rsid w:val="46B1F2B5"/>
    <w:rsid w:val="487C9AB4"/>
    <w:rsid w:val="4AB32267"/>
    <w:rsid w:val="4AE0B04A"/>
    <w:rsid w:val="4C93CD2B"/>
    <w:rsid w:val="4D524180"/>
    <w:rsid w:val="4F7C20EC"/>
    <w:rsid w:val="54F82586"/>
    <w:rsid w:val="55FD8463"/>
    <w:rsid w:val="56BCD82F"/>
    <w:rsid w:val="5A5C352F"/>
    <w:rsid w:val="5BD96D3B"/>
    <w:rsid w:val="5C623296"/>
    <w:rsid w:val="5CB5E102"/>
    <w:rsid w:val="5D1BEB27"/>
    <w:rsid w:val="6239D224"/>
    <w:rsid w:val="643E04D5"/>
    <w:rsid w:val="67E934DD"/>
    <w:rsid w:val="69F37B0B"/>
    <w:rsid w:val="6AE1B324"/>
    <w:rsid w:val="6C0780C5"/>
    <w:rsid w:val="6F12D57F"/>
    <w:rsid w:val="72CA77C7"/>
    <w:rsid w:val="73185BC0"/>
    <w:rsid w:val="78D488F8"/>
    <w:rsid w:val="7A22D9F3"/>
    <w:rsid w:val="7C352384"/>
    <w:rsid w:val="7CACD5C0"/>
    <w:rsid w:val="7DBF0C1A"/>
    <w:rsid w:val="7E01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0601"/>
  <w15:chartTrackingRefBased/>
  <w15:docId w15:val="{2BA22FB5-7E89-455B-BB03-FF665F59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C59B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C59B2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CC59B2"/>
    <w:pPr>
      <w:ind w:left="720"/>
      <w:contextualSpacing/>
    </w:pPr>
  </w:style>
  <w:style w:type="paragraph" w:styleId="Descripcin">
    <w:name w:val="caption"/>
    <w:basedOn w:val="Normal"/>
    <w:next w:val="Normal"/>
    <w:uiPriority w:val="35"/>
    <w:unhideWhenUsed/>
    <w:qFormat/>
    <w:rsid w:val="00DC45EE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4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FE22464FC7F34EA204C9CCD96CEE18" ma:contentTypeVersion="6" ma:contentTypeDescription="Crear nuevo documento." ma:contentTypeScope="" ma:versionID="8ce52e7ad94677bd9873982a1b08a28a">
  <xsd:schema xmlns:xsd="http://www.w3.org/2001/XMLSchema" xmlns:xs="http://www.w3.org/2001/XMLSchema" xmlns:p="http://schemas.microsoft.com/office/2006/metadata/properties" xmlns:ns2="f0cef383-27ec-447a-9a1a-7135635fecf8" targetNamespace="http://schemas.microsoft.com/office/2006/metadata/properties" ma:root="true" ma:fieldsID="2ab0d7942c2ac12eb594d7687bbc9bac" ns2:_="">
    <xsd:import namespace="f0cef383-27ec-447a-9a1a-7135635fec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ef383-27ec-447a-9a1a-7135635fec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EEEA4E-7DF9-4E5A-9C9C-318363160B0E}"/>
</file>

<file path=customXml/itemProps2.xml><?xml version="1.0" encoding="utf-8"?>
<ds:datastoreItem xmlns:ds="http://schemas.openxmlformats.org/officeDocument/2006/customXml" ds:itemID="{29EC845D-F95A-48CC-A134-63467343E9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962242-C37F-45D8-B807-D0BF6BECDF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998</Words>
  <Characters>5494</Characters>
  <Application>Microsoft Office Word</Application>
  <DocSecurity>0</DocSecurity>
  <Lines>45</Lines>
  <Paragraphs>12</Paragraphs>
  <ScaleCrop>false</ScaleCrop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Andrea Murillo Huertas</dc:creator>
  <cp:keywords/>
  <dc:description/>
  <cp:lastModifiedBy>Valentina Britto Restrepo</cp:lastModifiedBy>
  <cp:revision>3</cp:revision>
  <dcterms:created xsi:type="dcterms:W3CDTF">2020-11-29T01:06:00Z</dcterms:created>
  <dcterms:modified xsi:type="dcterms:W3CDTF">2020-11-29T01:53:00Z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0x01010064FE22464FC7F34EA204C9CCD96CEE18</vt:lpwstr>
  </property>
</Properties>
</file>